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72" w:rsidRPr="00B94586" w:rsidRDefault="00362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entury Gothic" w:eastAsia="Candara" w:hAnsi="Century Gothic" w:cs="Candara"/>
          <w:color w:val="000000"/>
          <w:sz w:val="24"/>
          <w:szCs w:val="24"/>
        </w:rPr>
      </w:pPr>
      <w:r w:rsidRPr="00B94586">
        <w:rPr>
          <w:rFonts w:ascii="Century Gothic" w:eastAsia="Candara" w:hAnsi="Century Gothic" w:cs="Candara"/>
          <w:b/>
          <w:color w:val="000000"/>
          <w:sz w:val="24"/>
          <w:szCs w:val="24"/>
        </w:rPr>
        <w:t xml:space="preserve">PORTARIA N.º </w:t>
      </w:r>
      <w:r w:rsidR="007D11F7">
        <w:rPr>
          <w:rFonts w:ascii="Century Gothic" w:eastAsia="Candara" w:hAnsi="Century Gothic" w:cs="Candara"/>
          <w:b/>
          <w:color w:val="000000"/>
          <w:sz w:val="24"/>
          <w:szCs w:val="24"/>
        </w:rPr>
        <w:t>013/</w:t>
      </w:r>
      <w:r w:rsidRPr="00B94586">
        <w:rPr>
          <w:rFonts w:ascii="Century Gothic" w:eastAsia="Candara" w:hAnsi="Century Gothic" w:cs="Candara"/>
          <w:b/>
          <w:color w:val="000000"/>
          <w:sz w:val="24"/>
          <w:szCs w:val="24"/>
        </w:rPr>
        <w:t>202</w:t>
      </w:r>
      <w:r w:rsidR="00B94586" w:rsidRPr="00B94586">
        <w:rPr>
          <w:rFonts w:ascii="Century Gothic" w:eastAsia="Candara" w:hAnsi="Century Gothic" w:cs="Candara"/>
          <w:b/>
          <w:color w:val="000000"/>
          <w:sz w:val="24"/>
          <w:szCs w:val="24"/>
        </w:rPr>
        <w:t>2</w:t>
      </w: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4"/>
          <w:szCs w:val="24"/>
        </w:rPr>
      </w:pP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color w:val="000000"/>
          <w:sz w:val="24"/>
          <w:szCs w:val="24"/>
        </w:rPr>
      </w:pPr>
    </w:p>
    <w:p w:rsidR="00F83772" w:rsidRPr="00B94586" w:rsidRDefault="00362A8C" w:rsidP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68" w:left="4392" w:hanging="2"/>
        <w:jc w:val="both"/>
        <w:rPr>
          <w:rFonts w:ascii="Century Gothic" w:eastAsia="Candara" w:hAnsi="Century Gothic" w:cs="Candara"/>
          <w:color w:val="000000"/>
          <w:sz w:val="24"/>
          <w:szCs w:val="24"/>
        </w:rPr>
      </w:pPr>
      <w:r w:rsidRPr="00B94586">
        <w:rPr>
          <w:rFonts w:ascii="Century Gothic" w:eastAsia="Candara" w:hAnsi="Century Gothic" w:cs="Candara"/>
          <w:i/>
          <w:color w:val="000000"/>
          <w:sz w:val="24"/>
          <w:szCs w:val="24"/>
        </w:rPr>
        <w:t xml:space="preserve">“Dispõe sobre a concessão do benefício de </w:t>
      </w:r>
      <w:r w:rsidRPr="00B94586">
        <w:rPr>
          <w:rFonts w:ascii="Century Gothic" w:eastAsia="Candara" w:hAnsi="Century Gothic" w:cs="Candara"/>
          <w:b/>
          <w:i/>
          <w:color w:val="000000"/>
          <w:sz w:val="24"/>
          <w:szCs w:val="24"/>
        </w:rPr>
        <w:t>Aposentadoria Voluntária por Tempo de Contribuição</w:t>
      </w:r>
      <w:r w:rsidR="007F15AE">
        <w:rPr>
          <w:rFonts w:ascii="Century Gothic" w:eastAsia="Candara" w:hAnsi="Century Gothic" w:cs="Candara"/>
          <w:b/>
          <w:i/>
          <w:color w:val="000000"/>
          <w:sz w:val="24"/>
          <w:szCs w:val="24"/>
        </w:rPr>
        <w:t xml:space="preserve"> do </w:t>
      </w:r>
      <w:proofErr w:type="gramStart"/>
      <w:r w:rsidR="007F15AE">
        <w:rPr>
          <w:rFonts w:ascii="Century Gothic" w:eastAsia="Candara" w:hAnsi="Century Gothic" w:cs="Candara"/>
          <w:b/>
          <w:i/>
          <w:color w:val="000000"/>
          <w:sz w:val="24"/>
          <w:szCs w:val="24"/>
        </w:rPr>
        <w:t>Professor</w:t>
      </w:r>
      <w:r w:rsidRPr="00B94586">
        <w:rPr>
          <w:rFonts w:ascii="Century Gothic" w:eastAsia="Candara" w:hAnsi="Century Gothic" w:cs="Candara"/>
          <w:i/>
          <w:color w:val="000000"/>
          <w:sz w:val="24"/>
          <w:szCs w:val="24"/>
        </w:rPr>
        <w:t xml:space="preserve"> </w:t>
      </w:r>
      <w:r w:rsidR="007F15AE">
        <w:rPr>
          <w:rFonts w:ascii="Century Gothic" w:eastAsia="Candara" w:hAnsi="Century Gothic" w:cs="Candara"/>
          <w:i/>
          <w:color w:val="000000"/>
          <w:sz w:val="24"/>
          <w:szCs w:val="24"/>
        </w:rPr>
        <w:t xml:space="preserve"> à</w:t>
      </w:r>
      <w:proofErr w:type="gramEnd"/>
      <w:r w:rsidRPr="00B94586">
        <w:rPr>
          <w:rFonts w:ascii="Century Gothic" w:eastAsia="Candara" w:hAnsi="Century Gothic" w:cs="Candara"/>
          <w:i/>
          <w:color w:val="000000"/>
          <w:sz w:val="24"/>
          <w:szCs w:val="24"/>
        </w:rPr>
        <w:t xml:space="preserve"> servidora Sra. </w:t>
      </w:r>
      <w:r w:rsidR="00B94586">
        <w:rPr>
          <w:rFonts w:ascii="Century Gothic" w:eastAsia="Candara" w:hAnsi="Century Gothic" w:cs="Candara"/>
          <w:b/>
          <w:i/>
          <w:color w:val="000000"/>
          <w:sz w:val="24"/>
          <w:szCs w:val="24"/>
          <w:u w:val="single"/>
        </w:rPr>
        <w:t xml:space="preserve">Daniela </w:t>
      </w:r>
      <w:proofErr w:type="spellStart"/>
      <w:r w:rsidR="00B94586">
        <w:rPr>
          <w:rFonts w:ascii="Century Gothic" w:eastAsia="Candara" w:hAnsi="Century Gothic" w:cs="Candara"/>
          <w:b/>
          <w:i/>
          <w:color w:val="000000"/>
          <w:sz w:val="24"/>
          <w:szCs w:val="24"/>
          <w:u w:val="single"/>
        </w:rPr>
        <w:t>Bagatin</w:t>
      </w:r>
      <w:proofErr w:type="spellEnd"/>
      <w:r w:rsidR="00B94586">
        <w:rPr>
          <w:rFonts w:ascii="Century Gothic" w:eastAsia="Candara" w:hAnsi="Century Gothic" w:cs="Candara"/>
          <w:b/>
          <w:i/>
          <w:color w:val="000000"/>
          <w:sz w:val="24"/>
          <w:szCs w:val="24"/>
          <w:u w:val="single"/>
        </w:rPr>
        <w:t xml:space="preserve"> Braga</w:t>
      </w:r>
      <w:r w:rsidRPr="00B94586">
        <w:rPr>
          <w:rFonts w:ascii="Century Gothic" w:eastAsia="Candara" w:hAnsi="Century Gothic" w:cs="Candara"/>
          <w:i/>
          <w:color w:val="000000"/>
          <w:sz w:val="24"/>
          <w:szCs w:val="24"/>
        </w:rPr>
        <w:t>.”</w:t>
      </w:r>
    </w:p>
    <w:p w:rsidR="00F83772" w:rsidRPr="00B94586" w:rsidRDefault="00F83772" w:rsidP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entury Gothic" w:eastAsia="Candara" w:hAnsi="Century Gothic" w:cs="Candara"/>
          <w:color w:val="000000"/>
          <w:sz w:val="24"/>
          <w:szCs w:val="24"/>
        </w:rPr>
      </w:pP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sz w:val="24"/>
          <w:szCs w:val="24"/>
        </w:rPr>
        <w:t xml:space="preserve">                       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 xml:space="preserve">O 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>Superintendente do PREV BOM JESUS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 xml:space="preserve"> – </w:t>
      </w:r>
      <w:r w:rsidR="00362A8C" w:rsidRPr="00B94586">
        <w:rPr>
          <w:rFonts w:ascii="Century Gothic" w:eastAsia="Candara" w:hAnsi="Century Gothic" w:cs="Candara"/>
          <w:i/>
          <w:sz w:val="24"/>
          <w:szCs w:val="24"/>
        </w:rPr>
        <w:t>Instituto de Previdência dos Servidores Públicos do Município de Bom Jesus dos Perdões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, no uso de suas atribuições legais e,</w:t>
      </w: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sz w:val="24"/>
          <w:szCs w:val="24"/>
        </w:rPr>
        <w:t xml:space="preserve">                        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Fundamentado no o Art. 40, § 1º, inciso III, “a” c/c com os §§ 3º e 17º do mesmo artigo da CF, com redação da EC nº 41/2003, c/c art. 19 da Lei n.º 2.391, de 24 de agosto de 2016 e os benefícios dos artigos 156 e 159 da Lei n.º 1.500, de 13/12/1999,</w:t>
      </w: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b/>
          <w:sz w:val="24"/>
          <w:szCs w:val="24"/>
        </w:rPr>
        <w:t xml:space="preserve">                        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>Resolve:</w:t>
      </w:r>
    </w:p>
    <w:p w:rsidR="00F83772" w:rsidRPr="00B94586" w:rsidRDefault="00F8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b/>
          <w:sz w:val="24"/>
          <w:szCs w:val="24"/>
        </w:rPr>
        <w:t xml:space="preserve">                        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 xml:space="preserve">Art. 1º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 xml:space="preserve">Conceder o benefício de </w:t>
      </w:r>
      <w:r w:rsidR="00362A8C" w:rsidRPr="00B94586">
        <w:rPr>
          <w:rFonts w:ascii="Century Gothic" w:eastAsia="Candara" w:hAnsi="Century Gothic" w:cs="Candara"/>
          <w:b/>
          <w:i/>
          <w:sz w:val="24"/>
          <w:szCs w:val="24"/>
        </w:rPr>
        <w:t>Aposentadoria Voluntária por Tempo de Contribuição</w:t>
      </w:r>
      <w:r w:rsidR="00362A8C" w:rsidRPr="00B94586">
        <w:rPr>
          <w:rFonts w:ascii="Century Gothic" w:eastAsia="Candara" w:hAnsi="Century Gothic" w:cs="Candara"/>
          <w:i/>
          <w:sz w:val="24"/>
          <w:szCs w:val="24"/>
        </w:rPr>
        <w:t xml:space="preserve"> </w:t>
      </w:r>
      <w:bookmarkStart w:id="0" w:name="_GoBack"/>
      <w:bookmarkEnd w:id="0"/>
      <w:r w:rsidR="007F15AE" w:rsidRPr="007F15AE">
        <w:rPr>
          <w:rFonts w:ascii="Century Gothic" w:eastAsia="Candara" w:hAnsi="Century Gothic" w:cs="Candara"/>
          <w:b/>
          <w:i/>
          <w:sz w:val="24"/>
          <w:szCs w:val="24"/>
        </w:rPr>
        <w:t>do Professor</w:t>
      </w:r>
      <w:r w:rsidR="007F15AE">
        <w:rPr>
          <w:rFonts w:ascii="Century Gothic" w:eastAsia="Candara" w:hAnsi="Century Gothic" w:cs="Candara"/>
          <w:i/>
          <w:sz w:val="24"/>
          <w:szCs w:val="24"/>
        </w:rPr>
        <w:t xml:space="preserve"> </w:t>
      </w:r>
      <w:r w:rsidR="00362A8C" w:rsidRPr="00B94586">
        <w:rPr>
          <w:rFonts w:ascii="Century Gothic" w:eastAsia="Candara" w:hAnsi="Century Gothic" w:cs="Candara"/>
          <w:i/>
          <w:sz w:val="24"/>
          <w:szCs w:val="24"/>
        </w:rPr>
        <w:t xml:space="preserve">à servidora Sra. </w:t>
      </w:r>
      <w:r w:rsidR="00362A8C" w:rsidRPr="00B94586">
        <w:rPr>
          <w:rFonts w:ascii="Century Gothic" w:eastAsia="Candara" w:hAnsi="Century Gothic" w:cs="Candara"/>
          <w:b/>
          <w:i/>
          <w:sz w:val="24"/>
          <w:szCs w:val="24"/>
        </w:rPr>
        <w:t xml:space="preserve">Daniela </w:t>
      </w:r>
      <w:proofErr w:type="spellStart"/>
      <w:r w:rsidR="00362A8C" w:rsidRPr="00B94586">
        <w:rPr>
          <w:rFonts w:ascii="Century Gothic" w:eastAsia="Candara" w:hAnsi="Century Gothic" w:cs="Candara"/>
          <w:b/>
          <w:i/>
          <w:sz w:val="24"/>
          <w:szCs w:val="24"/>
        </w:rPr>
        <w:t>Bagatin</w:t>
      </w:r>
      <w:proofErr w:type="spellEnd"/>
      <w:r w:rsidR="00362A8C" w:rsidRPr="00B94586">
        <w:rPr>
          <w:rFonts w:ascii="Century Gothic" w:eastAsia="Candara" w:hAnsi="Century Gothic" w:cs="Candara"/>
          <w:b/>
          <w:i/>
          <w:sz w:val="24"/>
          <w:szCs w:val="24"/>
        </w:rPr>
        <w:t xml:space="preserve"> Braga, </w:t>
      </w:r>
      <w:r w:rsidR="00362A8C" w:rsidRPr="00B94586">
        <w:rPr>
          <w:rFonts w:ascii="Century Gothic" w:eastAsia="Candara" w:hAnsi="Century Gothic" w:cs="Candara"/>
          <w:i/>
          <w:sz w:val="24"/>
          <w:szCs w:val="24"/>
        </w:rPr>
        <w:t>portadora do RG n.º 23.461.315-4 SSP/SP e inscrita no CPF sob o n.º 186.201.928-25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 xml:space="preserve">, servidora no cargo efetivo de 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 xml:space="preserve">Professora Educação Básica I, FUNDEB, Lotada no Fundo de Desenvolvimento Básico </w:t>
      </w:r>
      <w:r w:rsidR="007D11F7">
        <w:rPr>
          <w:rFonts w:ascii="Century Gothic" w:eastAsia="Candara" w:hAnsi="Century Gothic" w:cs="Candara"/>
          <w:b/>
          <w:sz w:val="24"/>
          <w:szCs w:val="24"/>
        </w:rPr>
        <w:t xml:space="preserve"> - </w:t>
      </w:r>
      <w:proofErr w:type="spellStart"/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>Fu</w:t>
      </w:r>
      <w:r>
        <w:rPr>
          <w:rFonts w:ascii="Century Gothic" w:eastAsia="Candara" w:hAnsi="Century Gothic" w:cs="Candara"/>
          <w:b/>
          <w:sz w:val="24"/>
          <w:szCs w:val="24"/>
        </w:rPr>
        <w:t>n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>deb</w:t>
      </w:r>
      <w:proofErr w:type="spellEnd"/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 xml:space="preserve">,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com direito a proventos calculados pela integralidade da média.</w:t>
      </w:r>
    </w:p>
    <w:p w:rsidR="00F83772" w:rsidRPr="00B94586" w:rsidRDefault="00F83772">
      <w:pPr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b/>
          <w:sz w:val="24"/>
          <w:szCs w:val="24"/>
        </w:rPr>
        <w:t xml:space="preserve">                      </w:t>
      </w:r>
      <w:r w:rsidR="00362A8C" w:rsidRPr="00B94586">
        <w:rPr>
          <w:rFonts w:ascii="Century Gothic" w:eastAsia="Candara" w:hAnsi="Century Gothic" w:cs="Candara"/>
          <w:b/>
          <w:sz w:val="24"/>
          <w:szCs w:val="24"/>
        </w:rPr>
        <w:t xml:space="preserve">Art. 2º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Esta portaria entra em vigor n</w:t>
      </w:r>
      <w:r>
        <w:rPr>
          <w:rFonts w:ascii="Century Gothic" w:eastAsia="Candara" w:hAnsi="Century Gothic" w:cs="Candara"/>
          <w:sz w:val="24"/>
          <w:szCs w:val="24"/>
        </w:rPr>
        <w:t>est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a dat</w:t>
      </w:r>
      <w:r>
        <w:rPr>
          <w:rFonts w:ascii="Century Gothic" w:eastAsia="Candara" w:hAnsi="Century Gothic" w:cs="Candara"/>
          <w:sz w:val="24"/>
          <w:szCs w:val="24"/>
        </w:rPr>
        <w:t>a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, revogadas as disposições em contrário.</w:t>
      </w:r>
    </w:p>
    <w:p w:rsidR="00F83772" w:rsidRPr="00B94586" w:rsidRDefault="00F83772">
      <w:pPr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ind w:hanging="2"/>
        <w:jc w:val="both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sz w:val="24"/>
          <w:szCs w:val="24"/>
        </w:rPr>
        <w:t xml:space="preserve">                      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Registre-se, publique-se, cumpra-se.</w:t>
      </w:r>
    </w:p>
    <w:p w:rsidR="00F83772" w:rsidRPr="00B94586" w:rsidRDefault="00F83772">
      <w:pPr>
        <w:ind w:hanging="2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B94586">
      <w:pPr>
        <w:ind w:hanging="2"/>
        <w:rPr>
          <w:rFonts w:ascii="Century Gothic" w:eastAsia="Candara" w:hAnsi="Century Gothic" w:cs="Candara"/>
          <w:sz w:val="24"/>
          <w:szCs w:val="24"/>
        </w:rPr>
      </w:pPr>
      <w:r>
        <w:rPr>
          <w:rFonts w:ascii="Century Gothic" w:eastAsia="Candara" w:hAnsi="Century Gothic" w:cs="Candara"/>
          <w:sz w:val="24"/>
          <w:szCs w:val="24"/>
        </w:rPr>
        <w:t xml:space="preserve">                       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>Bom Jesus dos Perdões/SP, 1</w:t>
      </w:r>
      <w:r w:rsidR="007D11F7">
        <w:rPr>
          <w:rFonts w:ascii="Century Gothic" w:eastAsia="Candara" w:hAnsi="Century Gothic" w:cs="Candara"/>
          <w:sz w:val="24"/>
          <w:szCs w:val="24"/>
        </w:rPr>
        <w:t>6</w:t>
      </w:r>
      <w:r w:rsidR="00362A8C" w:rsidRPr="00B94586">
        <w:rPr>
          <w:rFonts w:ascii="Century Gothic" w:eastAsia="Candara" w:hAnsi="Century Gothic" w:cs="Candara"/>
          <w:sz w:val="24"/>
          <w:szCs w:val="24"/>
        </w:rPr>
        <w:t xml:space="preserve"> de maio de 2022</w:t>
      </w:r>
    </w:p>
    <w:p w:rsidR="00F83772" w:rsidRPr="00B94586" w:rsidRDefault="00F83772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F83772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F83772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F83772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</w:p>
    <w:p w:rsidR="00F83772" w:rsidRPr="00B94586" w:rsidRDefault="00362A8C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  <w:r w:rsidRPr="00B94586">
        <w:rPr>
          <w:rFonts w:ascii="Century Gothic" w:eastAsia="Candara" w:hAnsi="Century Gothic" w:cs="Candara"/>
          <w:b/>
          <w:sz w:val="24"/>
          <w:szCs w:val="24"/>
        </w:rPr>
        <w:t>José Natalino Santos de Oliveira</w:t>
      </w:r>
    </w:p>
    <w:p w:rsidR="00F83772" w:rsidRPr="00B94586" w:rsidRDefault="00362A8C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  <w:r w:rsidRPr="00B94586">
        <w:rPr>
          <w:rFonts w:ascii="Century Gothic" w:eastAsia="Candara" w:hAnsi="Century Gothic" w:cs="Candara"/>
          <w:b/>
          <w:sz w:val="24"/>
          <w:szCs w:val="24"/>
        </w:rPr>
        <w:t>Superintendente do PREV BOM JESUS</w:t>
      </w:r>
    </w:p>
    <w:p w:rsidR="00F83772" w:rsidRPr="00B94586" w:rsidRDefault="00F83772">
      <w:pPr>
        <w:ind w:hanging="2"/>
        <w:jc w:val="center"/>
        <w:rPr>
          <w:rFonts w:ascii="Century Gothic" w:eastAsia="Candara" w:hAnsi="Century Gothic" w:cs="Candara"/>
          <w:sz w:val="24"/>
          <w:szCs w:val="24"/>
        </w:rPr>
      </w:pPr>
    </w:p>
    <w:sectPr w:rsidR="00F83772" w:rsidRPr="00B94586">
      <w:headerReference w:type="default" r:id="rId7"/>
      <w:pgSz w:w="11907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7" w:rsidRDefault="00362A8C">
      <w:pPr>
        <w:spacing w:line="240" w:lineRule="auto"/>
        <w:ind w:left="0" w:hanging="3"/>
      </w:pPr>
      <w:r>
        <w:separator/>
      </w:r>
    </w:p>
  </w:endnote>
  <w:endnote w:type="continuationSeparator" w:id="0">
    <w:p w:rsidR="00617487" w:rsidRDefault="00362A8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7" w:rsidRDefault="00362A8C">
      <w:pPr>
        <w:spacing w:line="240" w:lineRule="auto"/>
        <w:ind w:left="0" w:hanging="3"/>
      </w:pPr>
      <w:r>
        <w:separator/>
      </w:r>
    </w:p>
  </w:footnote>
  <w:footnote w:type="continuationSeparator" w:id="0">
    <w:p w:rsidR="00617487" w:rsidRDefault="00362A8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72" w:rsidRDefault="00F837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"/>
      <w:tblW w:w="8897" w:type="dxa"/>
      <w:tblInd w:w="0" w:type="dxa"/>
      <w:tblLayout w:type="fixed"/>
      <w:tblLook w:val="0000" w:firstRow="0" w:lastRow="0" w:firstColumn="0" w:lastColumn="0" w:noHBand="0" w:noVBand="0"/>
    </w:tblPr>
    <w:tblGrid>
      <w:gridCol w:w="1728"/>
      <w:gridCol w:w="7169"/>
    </w:tblGrid>
    <w:tr w:rsidR="00F83772">
      <w:trPr>
        <w:trHeight w:val="1270"/>
      </w:trPr>
      <w:tc>
        <w:tcPr>
          <w:tcW w:w="1728" w:type="dxa"/>
        </w:tcPr>
        <w:p w:rsidR="00F83772" w:rsidRDefault="00362A8C">
          <w:pPr>
            <w:tabs>
              <w:tab w:val="left" w:pos="-4395"/>
              <w:tab w:val="left" w:pos="0"/>
            </w:tabs>
            <w:ind w:hanging="2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1024255" cy="63627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36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:rsidR="00F83772" w:rsidRDefault="00362A8C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:rsidR="00F83772" w:rsidRDefault="00362A8C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i/>
              <w:sz w:val="18"/>
              <w:szCs w:val="18"/>
            </w:rPr>
            <w:t>CNPJ: 10.642.943/0001-71</w:t>
          </w:r>
        </w:p>
        <w:p w:rsidR="00F83772" w:rsidRDefault="00362A8C">
          <w:pPr>
            <w:tabs>
              <w:tab w:val="left" w:pos="-4395"/>
              <w:tab w:val="left" w:pos="0"/>
            </w:tabs>
            <w:ind w:hanging="2"/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Rua Joaquim Rodrigues dos Santos, nº.790 – Cidade Nova</w:t>
          </w:r>
        </w:p>
        <w:p w:rsidR="00F83772" w:rsidRDefault="00362A8C">
          <w:pPr>
            <w:tabs>
              <w:tab w:val="left" w:pos="-4395"/>
              <w:tab w:val="left" w:pos="0"/>
            </w:tabs>
            <w:ind w:hanging="2"/>
            <w:jc w:val="center"/>
            <w:rPr>
              <w:sz w:val="22"/>
              <w:szCs w:val="22"/>
            </w:rPr>
          </w:pPr>
          <w:r>
            <w:rPr>
              <w:i/>
              <w:sz w:val="18"/>
              <w:szCs w:val="18"/>
            </w:rPr>
            <w:t>Bom Jesus dos Perdões – SP</w:t>
          </w:r>
          <w:r>
            <w:rPr>
              <w:sz w:val="18"/>
              <w:szCs w:val="18"/>
            </w:rPr>
            <w:t xml:space="preserve"> - CEP: 12.955-000 - Telefone: (011) 4891-1677</w:t>
          </w:r>
        </w:p>
      </w:tc>
    </w:tr>
  </w:tbl>
  <w:p w:rsidR="00F83772" w:rsidRDefault="00F837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2"/>
    <w:rsid w:val="00362A8C"/>
    <w:rsid w:val="00617487"/>
    <w:rsid w:val="007D11F7"/>
    <w:rsid w:val="007F15AE"/>
    <w:rsid w:val="00B94586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ACE"/>
  <w15:docId w15:val="{DCAD20A6-5055-49B1-80D0-035643E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ndad2xNow74L7rYnX+BwmOK0g==">AMUW2mVsk5a/zZXq1mHB8fntiYwwGO6wCfC2Q6ArLRnfV1UxU4BrxLSal2ad1v12Wq6WwZri9secqrflsHSPDeuJIlaD7xfEmO3C/+ExJVQ2XbsK1xMiW+s=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INPLAN</dc:creator>
  <cp:lastModifiedBy>Viviane Lima</cp:lastModifiedBy>
  <cp:revision>7</cp:revision>
  <cp:lastPrinted>2022-05-17T19:21:00Z</cp:lastPrinted>
  <dcterms:created xsi:type="dcterms:W3CDTF">2022-05-17T18:22:00Z</dcterms:created>
  <dcterms:modified xsi:type="dcterms:W3CDTF">2022-05-20T18:26:00Z</dcterms:modified>
</cp:coreProperties>
</file>