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E8" w:rsidRPr="00DF4AB5" w:rsidRDefault="00155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PORTARIA N.º </w:t>
      </w:r>
      <w:r w:rsidR="00E5019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01</w:t>
      </w:r>
      <w:r w:rsidR="00DC7EDA">
        <w:rPr>
          <w:rFonts w:ascii="Century Gothic" w:eastAsia="Candara" w:hAnsi="Century Gothic" w:cs="Candara"/>
          <w:b/>
          <w:color w:val="000000"/>
          <w:sz w:val="21"/>
          <w:szCs w:val="21"/>
        </w:rPr>
        <w:t>4</w:t>
      </w:r>
      <w:bookmarkStart w:id="0" w:name="_GoBack"/>
      <w:bookmarkEnd w:id="0"/>
      <w:r w:rsidR="00E5019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/</w:t>
      </w: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2022</w:t>
      </w:r>
    </w:p>
    <w:p w:rsidR="00E5019D" w:rsidRPr="00DF4AB5" w:rsidRDefault="00E5019D" w:rsidP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E5019D" w:rsidRPr="00DF4AB5" w:rsidRDefault="001555ED" w:rsidP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11" w:firstLineChars="0" w:firstLine="0"/>
        <w:jc w:val="both"/>
        <w:rPr>
          <w:rFonts w:ascii="Century Gothic" w:eastAsia="Candara" w:hAnsi="Century Gothic" w:cs="Candara"/>
          <w:b/>
          <w:i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 xml:space="preserve">“Dispõe sobre a concessão do benefício de </w:t>
      </w:r>
      <w:r w:rsidR="00E5019D"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 xml:space="preserve">                                                   </w:t>
      </w: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Aposentadoria </w:t>
      </w:r>
      <w:r w:rsidR="000562C8"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 </w:t>
      </w: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>Voluntária</w:t>
      </w:r>
      <w:r w:rsidR="000562C8"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 </w:t>
      </w: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por</w:t>
      </w:r>
      <w:r w:rsidR="000562C8"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  </w:t>
      </w: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Tempo </w:t>
      </w:r>
      <w:r w:rsidR="000562C8"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   </w:t>
      </w: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>de</w:t>
      </w:r>
    </w:p>
    <w:p w:rsidR="00FB35E8" w:rsidRPr="00DF4AB5" w:rsidRDefault="001555ED" w:rsidP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417" w:left="3968" w:firstLineChars="0" w:firstLine="0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</w:t>
      </w:r>
      <w:r w:rsidR="00E5019D" w:rsidRPr="00DF4AB5">
        <w:rPr>
          <w:rFonts w:ascii="Century Gothic" w:eastAsia="Candara" w:hAnsi="Century Gothic" w:cs="Candara"/>
          <w:b/>
          <w:i/>
          <w:color w:val="000000"/>
          <w:sz w:val="21"/>
          <w:szCs w:val="21"/>
        </w:rPr>
        <w:t xml:space="preserve">  Contribuição</w:t>
      </w:r>
      <w:r w:rsidR="00E5019D"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 xml:space="preserve"> </w:t>
      </w:r>
      <w:r w:rsidR="00297DEB">
        <w:rPr>
          <w:rFonts w:ascii="Century Gothic" w:eastAsia="Candara" w:hAnsi="Century Gothic" w:cs="Candara"/>
          <w:i/>
          <w:color w:val="000000"/>
          <w:sz w:val="21"/>
          <w:szCs w:val="21"/>
        </w:rPr>
        <w:t>à</w:t>
      </w:r>
      <w:r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 xml:space="preserve"> servidora </w:t>
      </w:r>
      <w:r w:rsidR="000562C8"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>Sra.</w:t>
      </w:r>
      <w:r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 xml:space="preserve"> </w:t>
      </w:r>
      <w:r w:rsidRPr="00DF4AB5">
        <w:rPr>
          <w:rFonts w:ascii="Century Gothic" w:eastAsia="Candara" w:hAnsi="Century Gothic" w:cs="Candara"/>
          <w:b/>
          <w:i/>
          <w:sz w:val="21"/>
          <w:szCs w:val="21"/>
          <w:u w:val="single"/>
        </w:rPr>
        <w:t>Ione Ale</w:t>
      </w:r>
      <w:r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>”.</w:t>
      </w:r>
    </w:p>
    <w:p w:rsidR="00FB35E8" w:rsidRPr="00DF4AB5" w:rsidRDefault="00FB35E8" w:rsidP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FB35E8" w:rsidRPr="00DF4AB5" w:rsidRDefault="00DF4AB5" w:rsidP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0" w:firstLine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                     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O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Superintendente do PREV BOM JESUS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– </w:t>
      </w:r>
      <w:r w:rsidR="001555ED" w:rsidRPr="00DF4AB5">
        <w:rPr>
          <w:rFonts w:ascii="Century Gothic" w:eastAsia="Candara" w:hAnsi="Century Gothic" w:cs="Candara"/>
          <w:i/>
          <w:color w:val="000000"/>
          <w:sz w:val="21"/>
          <w:szCs w:val="21"/>
        </w:rPr>
        <w:t>Instituto de Previdência dos Servidores Públicos do Município de Bom Jesus dos Perdões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>, no uso de suas atribuições legais e,</w:t>
      </w: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FB35E8" w:rsidRPr="00DF4AB5" w:rsidRDefault="00DF4AB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                      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Observando a Legislação Nacional, em especial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a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Emenda Constitucional nº 103, de 12 de novembro de 2019,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que altera o sistema de previdência social e estabelece regras de transição e disposições transitória, sendo que em seu o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art. 10, § 7º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dispõe que: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“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u w:val="single"/>
        </w:rPr>
        <w:t xml:space="preserve">Aplicam-se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às aposentadorias </w:t>
      </w:r>
      <w:r w:rsidR="001555ED" w:rsidRPr="00DF4AB5">
        <w:rPr>
          <w:rFonts w:ascii="Century Gothic" w:eastAsia="Candara" w:hAnsi="Century Gothic" w:cs="Candara"/>
          <w:sz w:val="21"/>
          <w:szCs w:val="21"/>
        </w:rPr>
        <w:t>dos servidores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dos Estados, do Distrito Federal e dos Municípios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u w:val="single"/>
        </w:rPr>
        <w:t>as normas constitucionais e infraconstitucionais anteriores à data da entrada em vigor desta Emenda Constitucional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>, enquanto não promovidas as alterações na  legislação interna relacionada ao respectivo regime próprio de previdência social”,</w:t>
      </w: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hanging="2"/>
        <w:jc w:val="both"/>
        <w:rPr>
          <w:rFonts w:ascii="Century Gothic" w:eastAsia="Candara" w:hAnsi="Century Gothic" w:cs="Candara"/>
          <w:color w:val="FF0000"/>
          <w:sz w:val="21"/>
          <w:szCs w:val="21"/>
        </w:rPr>
      </w:pPr>
    </w:p>
    <w:p w:rsidR="00FB35E8" w:rsidRPr="00DF4AB5" w:rsidRDefault="00DF4AB5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                     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Observando a Legislação Nacional, em especial o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>art. 40 da Constituição Federal, as Emendas Constitucionais de nº. 41/2003 e 47/2005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, bem como a Orientação Normativa n. 02/2009, da Secretaria de Políticas de Previdência Social, que dispõem sobre os Regimes Próprios de Previdência, e a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>Lei nº 2.391, de 24 de agosto de 2016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, verifica-se que o Servidor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  <w:u w:val="single"/>
        </w:rPr>
        <w:t>preenche os requisitos necessários para a concessão de benefício previdenciário pelas regras mais benéficas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>,</w:t>
      </w: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</w:p>
    <w:p w:rsidR="00FB35E8" w:rsidRPr="00DF4AB5" w:rsidRDefault="00DF4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</w:pPr>
      <w:r w:rsidRPr="00DF4AB5"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  <w:t xml:space="preserve">                      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  <w:t xml:space="preserve">Fundamentado no art.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  <w:highlight w:val="white"/>
        </w:rPr>
        <w:t>3º da Emenda Constitucional 47/2005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  <w:t xml:space="preserve">, c/c com o art. 23 da Lei Municipal nº 2.391 de 24 de agosto de 2016, os benefícios dos </w:t>
      </w:r>
      <w:proofErr w:type="spellStart"/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  <w:t>arts</w:t>
      </w:r>
      <w:proofErr w:type="spellEnd"/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  <w:t>. 156 e 159 da Lei Municipal nº 1.500/1999;</w:t>
      </w:r>
    </w:p>
    <w:p w:rsidR="00E5019D" w:rsidRPr="00DF4AB5" w:rsidRDefault="00E501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</w:pPr>
    </w:p>
    <w:p w:rsidR="00FB35E8" w:rsidRPr="00DF4AB5" w:rsidRDefault="00DF4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</w:pP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  <w:highlight w:val="white"/>
        </w:rPr>
        <w:t xml:space="preserve">                    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  <w:highlight w:val="white"/>
        </w:rPr>
        <w:t>Resolve:</w:t>
      </w:r>
    </w:p>
    <w:p w:rsidR="00FB35E8" w:rsidRPr="00DF4AB5" w:rsidRDefault="00FB3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  <w:highlight w:val="white"/>
        </w:rPr>
      </w:pPr>
    </w:p>
    <w:p w:rsidR="00FB35E8" w:rsidRPr="00DF4AB5" w:rsidRDefault="00DF4AB5">
      <w:pPr>
        <w:ind w:hanging="2"/>
        <w:jc w:val="both"/>
        <w:rPr>
          <w:rFonts w:ascii="Century Gothic" w:eastAsia="Candara" w:hAnsi="Century Gothic" w:cs="Candara"/>
          <w:sz w:val="21"/>
          <w:szCs w:val="21"/>
          <w:highlight w:val="white"/>
        </w:rPr>
      </w:pPr>
      <w:r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 xml:space="preserve">                     </w:t>
      </w:r>
      <w:r w:rsidR="001555E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 xml:space="preserve">Art. 1º 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 xml:space="preserve">Conceder o benefício de </w:t>
      </w:r>
      <w:r w:rsidR="001555E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>Aposentadoria Voluntária por Tempo de Contribuição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 xml:space="preserve"> </w:t>
      </w:r>
      <w:r w:rsidR="00297DEB">
        <w:rPr>
          <w:rFonts w:ascii="Century Gothic" w:eastAsia="Candara" w:hAnsi="Century Gothic" w:cs="Candara"/>
          <w:sz w:val="21"/>
          <w:szCs w:val="21"/>
          <w:highlight w:val="white"/>
        </w:rPr>
        <w:t>à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 xml:space="preserve"> servidora </w:t>
      </w:r>
      <w:r w:rsidR="00297DEB" w:rsidRPr="00DF4AB5">
        <w:rPr>
          <w:rFonts w:ascii="Century Gothic" w:eastAsia="Candara" w:hAnsi="Century Gothic" w:cs="Candara"/>
          <w:sz w:val="21"/>
          <w:szCs w:val="21"/>
          <w:highlight w:val="white"/>
        </w:rPr>
        <w:t>Sra.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 xml:space="preserve"> </w:t>
      </w:r>
      <w:r w:rsidR="001555E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>Ione Ale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 xml:space="preserve">, portadora do RG nº 21.705.768-8 SSP/SP e inscrita no CPF sob o nº 135.930.028-76, servidora no cargo efetivo de </w:t>
      </w:r>
      <w:r w:rsidR="001555E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>Supervisor Arquivo Médico – lotad</w:t>
      </w:r>
      <w:r w:rsidR="00E5019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>a</w:t>
      </w:r>
      <w:r w:rsidR="001555ED" w:rsidRPr="00DF4AB5">
        <w:rPr>
          <w:rFonts w:ascii="Century Gothic" w:eastAsia="Candara" w:hAnsi="Century Gothic" w:cs="Candara"/>
          <w:b/>
          <w:sz w:val="21"/>
          <w:szCs w:val="21"/>
          <w:highlight w:val="white"/>
        </w:rPr>
        <w:t xml:space="preserve"> na Unidade Mista de Saúde, </w:t>
      </w:r>
      <w:r w:rsidR="001555ED" w:rsidRPr="00DF4AB5">
        <w:rPr>
          <w:rFonts w:ascii="Century Gothic" w:eastAsia="Candara" w:hAnsi="Century Gothic" w:cs="Candara"/>
          <w:sz w:val="21"/>
          <w:szCs w:val="21"/>
          <w:highlight w:val="white"/>
        </w:rPr>
        <w:t>com direito a proventos integrais e à paridade.</w:t>
      </w:r>
    </w:p>
    <w:p w:rsidR="00FB35E8" w:rsidRPr="00DF4AB5" w:rsidRDefault="00FB35E8">
      <w:pPr>
        <w:ind w:hanging="2"/>
        <w:jc w:val="both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DF4A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entury Gothic" w:eastAsia="Candara" w:hAnsi="Century Gothic" w:cs="Candara"/>
          <w:color w:val="000000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                   </w:t>
      </w:r>
      <w:r w:rsidR="001555ED" w:rsidRPr="00DF4AB5">
        <w:rPr>
          <w:rFonts w:ascii="Century Gothic" w:eastAsia="Candara" w:hAnsi="Century Gothic" w:cs="Candara"/>
          <w:b/>
          <w:color w:val="000000"/>
          <w:sz w:val="21"/>
          <w:szCs w:val="21"/>
        </w:rPr>
        <w:t xml:space="preserve">Art. 2º 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>Esta portaria entra em vigor n</w:t>
      </w:r>
      <w:r w:rsidR="000562C8" w:rsidRPr="00DF4AB5">
        <w:rPr>
          <w:rFonts w:ascii="Century Gothic" w:eastAsia="Candara" w:hAnsi="Century Gothic" w:cs="Candara"/>
          <w:color w:val="000000"/>
          <w:sz w:val="21"/>
          <w:szCs w:val="21"/>
        </w:rPr>
        <w:t>esta</w:t>
      </w:r>
      <w:r w:rsidR="001555ED" w:rsidRPr="00DF4AB5">
        <w:rPr>
          <w:rFonts w:ascii="Century Gothic" w:eastAsia="Candara" w:hAnsi="Century Gothic" w:cs="Candara"/>
          <w:color w:val="000000"/>
          <w:sz w:val="21"/>
          <w:szCs w:val="21"/>
        </w:rPr>
        <w:t xml:space="preserve"> data, revogadas as disposições em contrário.</w:t>
      </w:r>
    </w:p>
    <w:p w:rsidR="00FB35E8" w:rsidRPr="00DF4AB5" w:rsidRDefault="00FB35E8">
      <w:pPr>
        <w:ind w:hanging="2"/>
        <w:jc w:val="both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DF4AB5">
      <w:pPr>
        <w:ind w:hanging="2"/>
        <w:jc w:val="both"/>
        <w:rPr>
          <w:rFonts w:ascii="Century Gothic" w:eastAsia="Candara" w:hAnsi="Century Gothic" w:cs="Candara"/>
          <w:sz w:val="21"/>
          <w:szCs w:val="21"/>
        </w:rPr>
      </w:pPr>
      <w:r w:rsidRPr="00DF4AB5">
        <w:rPr>
          <w:rFonts w:ascii="Century Gothic" w:eastAsia="Candara" w:hAnsi="Century Gothic" w:cs="Candara"/>
          <w:sz w:val="21"/>
          <w:szCs w:val="21"/>
        </w:rPr>
        <w:t xml:space="preserve">                    </w:t>
      </w:r>
      <w:r w:rsidR="001555ED" w:rsidRPr="00DF4AB5">
        <w:rPr>
          <w:rFonts w:ascii="Century Gothic" w:eastAsia="Candara" w:hAnsi="Century Gothic" w:cs="Candara"/>
          <w:sz w:val="21"/>
          <w:szCs w:val="21"/>
        </w:rPr>
        <w:t>Registre-se, publique-se, cumpra-se.</w:t>
      </w:r>
    </w:p>
    <w:p w:rsidR="00FB35E8" w:rsidRPr="00DF4AB5" w:rsidRDefault="00FB35E8">
      <w:pPr>
        <w:ind w:hanging="2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DF4AB5">
      <w:pPr>
        <w:ind w:hanging="2"/>
        <w:rPr>
          <w:rFonts w:ascii="Century Gothic" w:eastAsia="Candara" w:hAnsi="Century Gothic" w:cs="Candara"/>
          <w:sz w:val="21"/>
          <w:szCs w:val="21"/>
        </w:rPr>
      </w:pPr>
      <w:r w:rsidRPr="00DF4AB5">
        <w:rPr>
          <w:rFonts w:ascii="Century Gothic" w:eastAsia="Candara" w:hAnsi="Century Gothic" w:cs="Candara"/>
          <w:sz w:val="21"/>
          <w:szCs w:val="21"/>
        </w:rPr>
        <w:t xml:space="preserve">                </w:t>
      </w:r>
      <w:r w:rsidR="00297DEB">
        <w:rPr>
          <w:rFonts w:ascii="Century Gothic" w:eastAsia="Candara" w:hAnsi="Century Gothic" w:cs="Candara"/>
          <w:sz w:val="21"/>
          <w:szCs w:val="21"/>
        </w:rPr>
        <w:t xml:space="preserve"> </w:t>
      </w:r>
      <w:r w:rsidRPr="00DF4AB5">
        <w:rPr>
          <w:rFonts w:ascii="Century Gothic" w:eastAsia="Candara" w:hAnsi="Century Gothic" w:cs="Candara"/>
          <w:sz w:val="21"/>
          <w:szCs w:val="21"/>
        </w:rPr>
        <w:t xml:space="preserve">   </w:t>
      </w:r>
      <w:r w:rsidR="001555ED" w:rsidRPr="00DF4AB5">
        <w:rPr>
          <w:rFonts w:ascii="Century Gothic" w:eastAsia="Candara" w:hAnsi="Century Gothic" w:cs="Candara"/>
          <w:sz w:val="21"/>
          <w:szCs w:val="21"/>
        </w:rPr>
        <w:t>Bom Jesus dos Perdões/SP, 1</w:t>
      </w:r>
      <w:r w:rsidR="000562C8" w:rsidRPr="00DF4AB5">
        <w:rPr>
          <w:rFonts w:ascii="Century Gothic" w:eastAsia="Candara" w:hAnsi="Century Gothic" w:cs="Candara"/>
          <w:sz w:val="21"/>
          <w:szCs w:val="21"/>
        </w:rPr>
        <w:t>9</w:t>
      </w:r>
      <w:r w:rsidR="001555ED" w:rsidRPr="00DF4AB5">
        <w:rPr>
          <w:rFonts w:ascii="Century Gothic" w:eastAsia="Candara" w:hAnsi="Century Gothic" w:cs="Candara"/>
          <w:sz w:val="21"/>
          <w:szCs w:val="21"/>
        </w:rPr>
        <w:t xml:space="preserve"> de maio de 2022.</w:t>
      </w:r>
    </w:p>
    <w:p w:rsidR="00FB35E8" w:rsidRPr="00DF4AB5" w:rsidRDefault="00FB35E8">
      <w:pPr>
        <w:ind w:hanging="2"/>
        <w:jc w:val="center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FB35E8">
      <w:pPr>
        <w:ind w:hanging="2"/>
        <w:jc w:val="center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FB35E8">
      <w:pPr>
        <w:ind w:hanging="2"/>
        <w:jc w:val="center"/>
        <w:rPr>
          <w:rFonts w:ascii="Century Gothic" w:eastAsia="Candara" w:hAnsi="Century Gothic" w:cs="Candara"/>
          <w:sz w:val="21"/>
          <w:szCs w:val="21"/>
        </w:rPr>
      </w:pPr>
    </w:p>
    <w:p w:rsidR="00FB35E8" w:rsidRPr="00DF4AB5" w:rsidRDefault="001555ED">
      <w:pPr>
        <w:ind w:hanging="2"/>
        <w:jc w:val="center"/>
        <w:rPr>
          <w:rFonts w:ascii="Century Gothic" w:eastAsia="Candara" w:hAnsi="Century Gothic" w:cs="Candara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sz w:val="21"/>
          <w:szCs w:val="21"/>
        </w:rPr>
        <w:t>José Natalino Santos de Oliveira</w:t>
      </w:r>
    </w:p>
    <w:p w:rsidR="00FB35E8" w:rsidRPr="00DF4AB5" w:rsidRDefault="001555ED">
      <w:pPr>
        <w:ind w:hanging="2"/>
        <w:jc w:val="center"/>
        <w:rPr>
          <w:rFonts w:ascii="Century Gothic" w:eastAsia="Candara" w:hAnsi="Century Gothic" w:cs="Candara"/>
          <w:sz w:val="21"/>
          <w:szCs w:val="21"/>
        </w:rPr>
      </w:pPr>
      <w:r w:rsidRPr="00DF4AB5">
        <w:rPr>
          <w:rFonts w:ascii="Century Gothic" w:eastAsia="Candara" w:hAnsi="Century Gothic" w:cs="Candara"/>
          <w:b/>
          <w:sz w:val="21"/>
          <w:szCs w:val="21"/>
        </w:rPr>
        <w:t>Superintendente do PREV BOM JESUS</w:t>
      </w:r>
    </w:p>
    <w:sectPr w:rsidR="00FB35E8" w:rsidRPr="00DF4AB5" w:rsidSect="00DF4AB5">
      <w:headerReference w:type="default" r:id="rId7"/>
      <w:pgSz w:w="11907" w:h="16840"/>
      <w:pgMar w:top="1701" w:right="1134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B7" w:rsidRDefault="001555ED">
      <w:pPr>
        <w:spacing w:line="240" w:lineRule="auto"/>
        <w:ind w:left="0" w:hanging="3"/>
      </w:pPr>
      <w:r>
        <w:separator/>
      </w:r>
    </w:p>
  </w:endnote>
  <w:endnote w:type="continuationSeparator" w:id="0">
    <w:p w:rsidR="00A124B7" w:rsidRDefault="001555ED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B7" w:rsidRDefault="001555ED">
      <w:pPr>
        <w:spacing w:line="240" w:lineRule="auto"/>
        <w:ind w:left="0" w:hanging="3"/>
      </w:pPr>
      <w:r>
        <w:separator/>
      </w:r>
    </w:p>
  </w:footnote>
  <w:footnote w:type="continuationSeparator" w:id="0">
    <w:p w:rsidR="00A124B7" w:rsidRDefault="001555ED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8" w:rsidRDefault="00FB35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"/>
      <w:tblW w:w="9007" w:type="dxa"/>
      <w:tblInd w:w="0" w:type="dxa"/>
      <w:tblLayout w:type="fixed"/>
      <w:tblLook w:val="0000" w:firstRow="0" w:lastRow="0" w:firstColumn="0" w:lastColumn="0" w:noHBand="0" w:noVBand="0"/>
    </w:tblPr>
    <w:tblGrid>
      <w:gridCol w:w="1749"/>
      <w:gridCol w:w="7258"/>
    </w:tblGrid>
    <w:tr w:rsidR="00FB35E8">
      <w:trPr>
        <w:trHeight w:val="635"/>
      </w:trPr>
      <w:tc>
        <w:tcPr>
          <w:tcW w:w="1749" w:type="dxa"/>
        </w:tcPr>
        <w:p w:rsidR="00FB35E8" w:rsidRDefault="001555ED">
          <w:pPr>
            <w:tabs>
              <w:tab w:val="left" w:pos="-4395"/>
              <w:tab w:val="left" w:pos="0"/>
            </w:tabs>
            <w:ind w:hanging="2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1024255" cy="63627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</w:tcPr>
        <w:p w:rsidR="00FB35E8" w:rsidRDefault="001555ED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:rsidR="00FB35E8" w:rsidRDefault="001555ED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i/>
              <w:sz w:val="18"/>
              <w:szCs w:val="18"/>
            </w:rPr>
            <w:t>CNPJ: 10.642.943/0001-71</w:t>
          </w:r>
        </w:p>
        <w:p w:rsidR="00FB35E8" w:rsidRDefault="001555ED">
          <w:pPr>
            <w:tabs>
              <w:tab w:val="left" w:pos="-4395"/>
              <w:tab w:val="left" w:pos="0"/>
            </w:tabs>
            <w:ind w:hanging="2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>Rua Joaquim Rodrigues dos Santos, nº.790 – Cidade Nova</w:t>
          </w:r>
        </w:p>
        <w:p w:rsidR="00FB35E8" w:rsidRDefault="001555ED">
          <w:pPr>
            <w:tabs>
              <w:tab w:val="left" w:pos="-4395"/>
              <w:tab w:val="left" w:pos="0"/>
            </w:tabs>
            <w:ind w:hanging="2"/>
            <w:jc w:val="center"/>
            <w:rPr>
              <w:sz w:val="22"/>
              <w:szCs w:val="22"/>
            </w:rPr>
          </w:pPr>
          <w:r>
            <w:rPr>
              <w:i/>
              <w:sz w:val="18"/>
              <w:szCs w:val="18"/>
            </w:rPr>
            <w:t>Bom Jesus dos Perdões – SP</w:t>
          </w:r>
          <w:r>
            <w:rPr>
              <w:sz w:val="18"/>
              <w:szCs w:val="18"/>
            </w:rPr>
            <w:t xml:space="preserve"> - CEP: 12.955-000 - Telefone: (011) 4891-1677</w:t>
          </w:r>
        </w:p>
      </w:tc>
    </w:tr>
  </w:tbl>
  <w:p w:rsidR="00FB35E8" w:rsidRDefault="00FB35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E8"/>
    <w:rsid w:val="000562C8"/>
    <w:rsid w:val="001555ED"/>
    <w:rsid w:val="00297DEB"/>
    <w:rsid w:val="00A124B7"/>
    <w:rsid w:val="00DC7EDA"/>
    <w:rsid w:val="00DF4AB5"/>
    <w:rsid w:val="00E5019D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E8D"/>
  <w15:docId w15:val="{109688FA-39A6-4375-954A-E372085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rbbDrAk9uRYr9EngUETwkelNQ==">AMUW2mXPsJuDqNH5GTLoJwLwRH122GqQziBoApwmCq1u7nu/jEAUSCDkY2Je+Et1lpWZUxpdyLFPDL4+4yPmXyOgVLMf2Ywrt4iiaHOTkuaSiRTes1LzzNY=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INPLAN</dc:creator>
  <cp:lastModifiedBy>Viviane Lima</cp:lastModifiedBy>
  <cp:revision>6</cp:revision>
  <cp:lastPrinted>2022-05-17T19:25:00Z</cp:lastPrinted>
  <dcterms:created xsi:type="dcterms:W3CDTF">2022-05-12T16:26:00Z</dcterms:created>
  <dcterms:modified xsi:type="dcterms:W3CDTF">2022-05-17T19:25:00Z</dcterms:modified>
</cp:coreProperties>
</file>